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E43AC6">
        <w:rPr>
          <w:rFonts w:ascii="Calibri" w:eastAsia="Calibri" w:hAnsi="Calibri" w:cs="Times New Roman"/>
          <w:b/>
          <w:bCs/>
          <w:kern w:val="0"/>
          <w:lang w:eastAsia="en-US" w:bidi="ar-SA"/>
        </w:rPr>
        <w:t>3</w:t>
      </w:r>
      <w:r>
        <w:rPr>
          <w:rFonts w:ascii="Calibri" w:eastAsia="Calibri" w:hAnsi="Calibri" w:cs="Times New Roman"/>
          <w:b/>
          <w:bCs/>
          <w:kern w:val="0"/>
          <w:lang w:eastAsia="en-US" w:bidi="ar-SA"/>
        </w:rPr>
        <w:t xml:space="preserve"> de </w:t>
      </w:r>
      <w:proofErr w:type="gramStart"/>
      <w:r w:rsidR="003076BE">
        <w:rPr>
          <w:rFonts w:ascii="Calibri" w:eastAsia="Calibri" w:hAnsi="Calibri" w:cs="Times New Roman"/>
          <w:b/>
          <w:bCs/>
          <w:kern w:val="0"/>
          <w:lang w:eastAsia="en-US" w:bidi="ar-SA"/>
        </w:rPr>
        <w:t>Junio</w:t>
      </w:r>
      <w:proofErr w:type="gramEnd"/>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Provincial).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estableciendo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190A81" w:rsidRDefault="00190A81" w:rsidP="00815D47">
            <w:pPr>
              <w:widowControl/>
              <w:suppressAutoHyphens w:val="0"/>
              <w:ind w:left="91" w:right="132"/>
              <w:jc w:val="both"/>
              <w:textAlignment w:val="auto"/>
            </w:pPr>
            <w:r>
              <w:rPr>
                <w:rFonts w:ascii="Calibri" w:eastAsia="Times New Roman" w:hAnsi="Calibri" w:cs="Calibri"/>
                <w:b/>
                <w:kern w:val="0"/>
                <w:sz w:val="22"/>
                <w:szCs w:val="22"/>
                <w:lang w:eastAsia="ar-SA" w:bidi="ar-SA"/>
              </w:rPr>
              <w:t xml:space="preserve">566/18 BLOQUE F.P.V.-P.J.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adhiriendo la Provincia de Tierra del Fuego a los términos de</w:t>
            </w:r>
          </w:p>
          <w:p w:rsidR="007513DC" w:rsidRPr="009A03AF" w:rsidRDefault="00190A81" w:rsidP="007513DC">
            <w:pPr>
              <w:widowControl/>
              <w:suppressAutoHyphens w:val="0"/>
              <w:ind w:left="91" w:right="132"/>
              <w:jc w:val="both"/>
              <w:textAlignment w:val="auto"/>
              <w:rPr>
                <w:sz w:val="16"/>
                <w:szCs w:val="16"/>
              </w:rPr>
            </w:pPr>
            <w:r>
              <w:rPr>
                <w:rFonts w:ascii="Calibri" w:eastAsia="Times New Roman" w:hAnsi="Calibri" w:cs="Calibri"/>
                <w:kern w:val="0"/>
                <w:sz w:val="22"/>
                <w:szCs w:val="22"/>
                <w:lang w:eastAsia="ar-SA" w:bidi="ar-SA"/>
              </w:rPr>
              <w:t xml:space="preserve"> la Ley Nacional 27.360.</w:t>
            </w:r>
            <w:r>
              <w:rPr>
                <w:rFonts w:ascii="Calibri" w:eastAsia="Times New Roman" w:hAnsi="Calibri" w:cs="Calibri"/>
                <w:b/>
                <w:kern w:val="0"/>
                <w:sz w:val="22"/>
                <w:szCs w:val="22"/>
                <w:lang w:eastAsia="ar-SA" w:bidi="ar-SA"/>
              </w:rPr>
              <w:t xml:space="preserve"> Com. 1</w:t>
            </w:r>
            <w:r w:rsidR="009A03AF">
              <w:rPr>
                <w:rFonts w:ascii="Calibri" w:eastAsia="Times New Roman" w:hAnsi="Calibri" w:cs="Calibri"/>
                <w:b/>
                <w:kern w:val="0"/>
                <w:sz w:val="22"/>
                <w:szCs w:val="22"/>
                <w:lang w:eastAsia="ar-SA" w:bidi="ar-SA"/>
              </w:rPr>
              <w:t xml:space="preserve">  </w:t>
            </w:r>
          </w:p>
          <w:p w:rsidR="00190A81" w:rsidRDefault="00190A81" w:rsidP="007513DC">
            <w:pPr>
              <w:widowControl/>
              <w:suppressAutoHyphens w:val="0"/>
              <w:ind w:right="132"/>
              <w:jc w:val="both"/>
              <w:textAlignment w:val="auto"/>
              <w:rPr>
                <w:rFonts w:ascii="Calibri" w:eastAsia="Times New Roman" w:hAnsi="Calibri" w:cs="Calibri"/>
                <w:kern w:val="0"/>
                <w:sz w:val="22"/>
                <w:szCs w:val="22"/>
                <w:lang w:eastAsia="ar-SA" w:bidi="ar-SA"/>
              </w:rPr>
            </w:pPr>
            <w:bookmarkStart w:id="0" w:name="_GoBack"/>
            <w:bookmarkEnd w:id="0"/>
          </w:p>
        </w:tc>
      </w:tr>
    </w:tbl>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190A81">
      <w:pPr>
        <w:widowControl/>
        <w:suppressAutoHyphens w:val="0"/>
        <w:ind w:right="132"/>
        <w:jc w:val="both"/>
        <w:textAlignment w:val="auto"/>
        <w:rPr>
          <w:rFonts w:ascii="Calibri" w:eastAsia="Calibri" w:hAnsi="Calibri" w:cs="Calibri"/>
          <w:b/>
          <w:kern w:val="0"/>
          <w:sz w:val="22"/>
          <w:szCs w:val="22"/>
          <w:lang w:eastAsia="en-US"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121326">
      <w:pPr>
        <w:widowControl/>
        <w:suppressAutoHyphens w:val="0"/>
        <w:ind w:right="132"/>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644C63" w:rsidRDefault="00F90DFA" w:rsidP="00644C63">
            <w:pPr>
              <w:widowControl/>
              <w:suppressAutoHyphens w:val="0"/>
              <w:ind w:right="130"/>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Nº 561 –Régimen de Jubilaciones </w:t>
            </w:r>
          </w:p>
          <w:p w:rsidR="00190A81" w:rsidRDefault="00F90DFA" w:rsidP="00644C63">
            <w:pPr>
              <w:widowControl/>
              <w:suppressAutoHyphens w:val="0"/>
              <w:ind w:right="130"/>
              <w:jc w:val="both"/>
              <w:textAlignment w:val="auto"/>
            </w:pPr>
            <w:r>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815D47">
            <w:pPr>
              <w:widowControl/>
              <w:suppressAutoHyphens w:val="0"/>
              <w:ind w:right="130"/>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815D47">
            <w:pPr>
              <w:widowControl/>
              <w:suppressAutoHyphens w:val="0"/>
              <w:ind w:left="91" w:right="130"/>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190A81" w:rsidRP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5D3C92"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p>
          <w:p w:rsidR="00F93303" w:rsidRPr="00672F2D"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r w:rsidRPr="005D3C92">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F90DFA">
            <w:pPr>
              <w:pStyle w:val="Sinespaciado"/>
              <w:ind w:right="-907"/>
              <w:rPr>
                <w:rFonts w:asciiTheme="minorHAnsi" w:hAnsiTheme="minorHAnsi" w:cstheme="minorHAnsi"/>
                <w:b/>
                <w:sz w:val="22"/>
                <w:szCs w:val="22"/>
              </w:rPr>
            </w:pPr>
          </w:p>
          <w:p w:rsid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3303" w:rsidRPr="00672F2D" w:rsidRDefault="00F93303" w:rsidP="00430528">
            <w:pPr>
              <w:ind w:right="-907"/>
              <w:rPr>
                <w:rFonts w:asciiTheme="minorHAnsi" w:hAnsiTheme="minorHAnsi" w:cstheme="minorHAnsi"/>
                <w:b/>
                <w:sz w:val="22"/>
                <w:szCs w:val="22"/>
              </w:rPr>
            </w:pPr>
          </w:p>
          <w:p w:rsidR="00F93303" w:rsidRPr="00672F2D"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430528">
            <w:pPr>
              <w:ind w:right="-907"/>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430528">
            <w:pPr>
              <w:ind w:right="-907"/>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430528">
            <w:pPr>
              <w:ind w:right="-907"/>
              <w:rPr>
                <w:rFonts w:asciiTheme="minorHAnsi" w:hAnsiTheme="minorHAnsi" w:cstheme="minorHAnsi"/>
                <w:b/>
                <w:sz w:val="22"/>
                <w:szCs w:val="22"/>
              </w:rPr>
            </w:pP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067/19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derogando el art. 6º de la Ley </w:t>
            </w:r>
            <w:r w:rsidR="00463F73">
              <w:rPr>
                <w:rFonts w:asciiTheme="minorHAnsi" w:hAnsiTheme="minorHAnsi" w:cstheme="minorHAnsi"/>
                <w:sz w:val="22"/>
                <w:szCs w:val="22"/>
              </w:rPr>
              <w:t>provin</w:t>
            </w:r>
            <w:r w:rsidRPr="00672F2D">
              <w:rPr>
                <w:rFonts w:asciiTheme="minorHAnsi" w:hAnsiTheme="minorHAnsi" w:cstheme="minorHAnsi"/>
                <w:sz w:val="22"/>
                <w:szCs w:val="22"/>
              </w:rPr>
              <w:t xml:space="preserve">cial. 1210 (Régimen de Jubilación y </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Pensiones</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para el personal de los tres Poderes del Estado Provincial).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5 y 2</w:t>
            </w:r>
          </w:p>
          <w:p w:rsidR="00F93303" w:rsidRPr="00672F2D" w:rsidRDefault="00F93303" w:rsidP="00430528">
            <w:pPr>
              <w:ind w:right="-907"/>
              <w:rPr>
                <w:rFonts w:asciiTheme="minorHAnsi" w:hAnsiTheme="minorHAnsi" w:cstheme="minorHAnsi"/>
                <w:b/>
                <w:sz w:val="22"/>
                <w:szCs w:val="22"/>
              </w:rPr>
            </w:pPr>
          </w:p>
          <w:p w:rsidR="00544634"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6161C2" w:rsidRDefault="00544634" w:rsidP="00544634">
            <w:pPr>
              <w:widowControl/>
              <w:suppressAutoHyphens w:val="0"/>
              <w:ind w:right="-907"/>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463F73" w:rsidRP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lastRenderedPageBreak/>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p>
          <w:p w:rsidR="00544634" w:rsidRPr="00463F73" w:rsidRDefault="00463F73" w:rsidP="00544634">
            <w:pPr>
              <w:widowControl/>
              <w:suppressAutoHyphens w:val="0"/>
              <w:ind w:right="-907"/>
              <w:textAlignment w:val="auto"/>
              <w:rPr>
                <w:rFonts w:asciiTheme="minorHAnsi" w:eastAsia="Times New Roman" w:hAnsiTheme="minorHAnsi" w:cstheme="minorHAnsi"/>
                <w:kern w:val="0"/>
                <w:sz w:val="22"/>
                <w:szCs w:val="22"/>
                <w:lang w:eastAsia="es-ES" w:bidi="ar-SA"/>
              </w:rPr>
            </w:pPr>
            <w:r>
              <w:rPr>
                <w:rFonts w:asciiTheme="minorHAnsi" w:hAnsiTheme="minorHAnsi" w:cstheme="minorHAnsi"/>
                <w:sz w:val="22"/>
                <w:szCs w:val="22"/>
              </w:rPr>
              <w:t xml:space="preserve">(Régimen de Jubilaciones y Pensiones para el personal de los tres poderes del estado provincial).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w:t>
            </w:r>
            <w:r>
              <w:rPr>
                <w:rFonts w:asciiTheme="minorHAnsi" w:hAnsiTheme="minorHAnsi" w:cstheme="minorHAnsi"/>
                <w:b/>
                <w:sz w:val="22"/>
                <w:szCs w:val="22"/>
              </w:rPr>
              <w:t>5</w:t>
            </w:r>
            <w:r w:rsidRPr="00672F2D">
              <w:rPr>
                <w:rFonts w:asciiTheme="minorHAnsi" w:hAnsiTheme="minorHAnsi" w:cstheme="minorHAnsi"/>
                <w:b/>
                <w:sz w:val="22"/>
                <w:szCs w:val="22"/>
              </w:rPr>
              <w:t xml:space="preserve">, </w:t>
            </w:r>
            <w:r>
              <w:rPr>
                <w:rFonts w:asciiTheme="minorHAnsi" w:hAnsiTheme="minorHAnsi" w:cstheme="minorHAnsi"/>
                <w:b/>
                <w:sz w:val="22"/>
                <w:szCs w:val="22"/>
              </w:rPr>
              <w:t>1</w:t>
            </w:r>
            <w:r w:rsidRPr="00672F2D">
              <w:rPr>
                <w:rFonts w:asciiTheme="minorHAnsi" w:hAnsiTheme="minorHAnsi" w:cstheme="minorHAnsi"/>
                <w:b/>
                <w:sz w:val="22"/>
                <w:szCs w:val="22"/>
              </w:rPr>
              <w:t xml:space="preserve">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544634" w:rsidRPr="00672F2D" w:rsidRDefault="00544634"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463F73">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 1</w:t>
            </w:r>
          </w:p>
        </w:tc>
      </w:tr>
      <w:tr w:rsidR="00430528"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r w:rsidR="00430528"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bl>
    <w:p w:rsidR="00190A81" w:rsidRPr="00672F2D" w:rsidRDefault="00190A81" w:rsidP="0056018A">
      <w:pPr>
        <w:widowControl/>
        <w:suppressAutoHyphens w:val="0"/>
        <w:spacing w:after="200"/>
        <w:ind w:left="3540" w:right="-907" w:firstLine="708"/>
        <w:jc w:val="center"/>
        <w:textAlignment w:val="auto"/>
        <w:rPr>
          <w:rFonts w:asciiTheme="minorHAnsi" w:hAnsiTheme="minorHAnsi" w:cstheme="minorHAnsi"/>
          <w:sz w:val="22"/>
          <w:szCs w:val="22"/>
        </w:rPr>
        <w:sectPr w:rsidR="00190A81" w:rsidRPr="00672F2D" w:rsidSect="00BA7E77">
          <w:pgSz w:w="11906" w:h="16838" w:code="9"/>
          <w:pgMar w:top="3402" w:right="1134" w:bottom="1134" w:left="1701" w:header="720" w:footer="720" w:gutter="0"/>
          <w:cols w:space="720"/>
          <w:docGrid w:linePitch="326"/>
        </w:sectPr>
      </w:pPr>
      <w:r w:rsidRPr="00672F2D">
        <w:rPr>
          <w:rFonts w:asciiTheme="minorHAnsi" w:eastAsia="Calibri" w:hAnsiTheme="minorHAnsi" w:cstheme="minorHAnsi"/>
          <w:b/>
          <w:bCs/>
          <w:kern w:val="0"/>
          <w:sz w:val="22"/>
          <w:szCs w:val="22"/>
          <w:lang w:eastAsia="en-US" w:bidi="ar-SA"/>
        </w:rPr>
        <w:t xml:space="preserve">SALA </w:t>
      </w:r>
      <w:r w:rsidR="00B113D4" w:rsidRPr="00672F2D">
        <w:rPr>
          <w:rFonts w:asciiTheme="minorHAnsi" w:eastAsia="Calibri" w:hAnsiTheme="minorHAnsi" w:cstheme="minorHAnsi"/>
          <w:b/>
          <w:bCs/>
          <w:kern w:val="0"/>
          <w:sz w:val="22"/>
          <w:szCs w:val="22"/>
          <w:lang w:eastAsia="en-US" w:bidi="ar-SA"/>
        </w:rPr>
        <w:t xml:space="preserve">DE COMISIÓN, </w:t>
      </w:r>
      <w:r w:rsidR="00F93303" w:rsidRPr="00672F2D">
        <w:rPr>
          <w:rFonts w:asciiTheme="minorHAnsi" w:eastAsia="Calibri" w:hAnsiTheme="minorHAnsi" w:cstheme="minorHAnsi"/>
          <w:b/>
          <w:bCs/>
          <w:kern w:val="0"/>
          <w:sz w:val="22"/>
          <w:szCs w:val="22"/>
          <w:lang w:eastAsia="en-US" w:bidi="ar-SA"/>
        </w:rPr>
        <w:t>0</w:t>
      </w:r>
      <w:r w:rsidR="00463F73">
        <w:rPr>
          <w:rFonts w:asciiTheme="minorHAnsi" w:eastAsia="Calibri" w:hAnsiTheme="minorHAnsi" w:cstheme="minorHAnsi"/>
          <w:b/>
          <w:bCs/>
          <w:kern w:val="0"/>
          <w:sz w:val="22"/>
          <w:szCs w:val="22"/>
          <w:lang w:eastAsia="en-US" w:bidi="ar-SA"/>
        </w:rPr>
        <w:t>3</w:t>
      </w:r>
      <w:r w:rsidR="00F93303" w:rsidRPr="00672F2D">
        <w:rPr>
          <w:rFonts w:asciiTheme="minorHAnsi" w:eastAsia="Calibri" w:hAnsiTheme="minorHAnsi" w:cstheme="minorHAnsi"/>
          <w:b/>
          <w:bCs/>
          <w:kern w:val="0"/>
          <w:sz w:val="22"/>
          <w:szCs w:val="22"/>
          <w:lang w:eastAsia="en-US" w:bidi="ar-SA"/>
        </w:rPr>
        <w:t xml:space="preserve"> de </w:t>
      </w:r>
      <w:proofErr w:type="gramStart"/>
      <w:r w:rsidR="00C262E0">
        <w:rPr>
          <w:rFonts w:asciiTheme="minorHAnsi" w:eastAsia="Calibri" w:hAnsiTheme="minorHAnsi" w:cstheme="minorHAnsi"/>
          <w:b/>
          <w:bCs/>
          <w:kern w:val="0"/>
          <w:sz w:val="22"/>
          <w:szCs w:val="22"/>
          <w:lang w:eastAsia="en-US" w:bidi="ar-SA"/>
        </w:rPr>
        <w:t>Juni</w:t>
      </w:r>
      <w:r w:rsidR="00463F73">
        <w:rPr>
          <w:rFonts w:asciiTheme="minorHAnsi" w:eastAsia="Calibri" w:hAnsiTheme="minorHAnsi" w:cstheme="minorHAnsi"/>
          <w:b/>
          <w:bCs/>
          <w:kern w:val="0"/>
          <w:sz w:val="22"/>
          <w:szCs w:val="22"/>
          <w:lang w:eastAsia="en-US" w:bidi="ar-SA"/>
        </w:rPr>
        <w:t>o</w:t>
      </w:r>
      <w:proofErr w:type="gramEnd"/>
      <w:r w:rsidR="00B113D4" w:rsidRPr="00672F2D">
        <w:rPr>
          <w:rFonts w:asciiTheme="minorHAnsi" w:eastAsia="Calibri" w:hAnsiTheme="minorHAnsi" w:cstheme="minorHAnsi"/>
          <w:b/>
          <w:bCs/>
          <w:kern w:val="0"/>
          <w:sz w:val="22"/>
          <w:szCs w:val="22"/>
          <w:lang w:eastAsia="en-US" w:bidi="ar-SA"/>
        </w:rPr>
        <w:t xml:space="preserve"> de 20</w:t>
      </w:r>
      <w:r w:rsidR="00F61D76">
        <w:rPr>
          <w:rFonts w:asciiTheme="minorHAnsi" w:eastAsia="Calibri" w:hAnsiTheme="minorHAnsi" w:cstheme="minorHAnsi"/>
          <w:b/>
          <w:bCs/>
          <w:kern w:val="0"/>
          <w:sz w:val="22"/>
          <w:szCs w:val="22"/>
          <w:lang w:eastAsia="en-US" w:bidi="ar-SA"/>
        </w:rPr>
        <w:t>1</w:t>
      </w:r>
      <w:r w:rsidR="005A3163">
        <w:rPr>
          <w:rFonts w:asciiTheme="minorHAnsi" w:eastAsia="Calibri" w:hAnsiTheme="minorHAnsi" w:cstheme="minorHAnsi"/>
          <w:b/>
          <w:bCs/>
          <w:kern w:val="0"/>
          <w:sz w:val="22"/>
          <w:szCs w:val="22"/>
          <w:lang w:eastAsia="en-US" w:bidi="ar-SA"/>
        </w:rPr>
        <w:t>9</w:t>
      </w:r>
    </w:p>
    <w:p w:rsidR="00190A81" w:rsidRPr="00672F2D" w:rsidRDefault="00190A81" w:rsidP="00F61D76">
      <w:pPr>
        <w:ind w:right="-907"/>
        <w:rPr>
          <w:rFonts w:asciiTheme="minorHAnsi" w:hAnsiTheme="minorHAnsi" w:cstheme="minorHAnsi"/>
          <w:sz w:val="22"/>
          <w:szCs w:val="22"/>
        </w:rPr>
        <w:sectPr w:rsidR="00190A81" w:rsidRPr="00672F2D">
          <w:type w:val="continuous"/>
          <w:pgSz w:w="11906" w:h="16838"/>
          <w:pgMar w:top="3402" w:right="1134" w:bottom="1134" w:left="1134" w:header="720" w:footer="720" w:gutter="0"/>
          <w:cols w:space="720"/>
        </w:sectPr>
      </w:pPr>
    </w:p>
    <w:p w:rsidR="00ED78C0" w:rsidRPr="00672F2D" w:rsidRDefault="00ED78C0" w:rsidP="00F61D76">
      <w:pPr>
        <w:ind w:right="-907"/>
        <w:rPr>
          <w:rFonts w:asciiTheme="minorHAnsi" w:hAnsiTheme="minorHAnsi" w:cstheme="minorHAnsi"/>
          <w:sz w:val="22"/>
          <w:szCs w:val="22"/>
        </w:rPr>
      </w:pPr>
    </w:p>
    <w:sectPr w:rsidR="00ED78C0" w:rsidRPr="00672F2D">
      <w:type w:val="continuous"/>
      <w:pgSz w:w="11906" w:h="16838"/>
      <w:pgMar w:top="3402"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Cambria">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74B46"/>
    <w:rsid w:val="00094793"/>
    <w:rsid w:val="00121326"/>
    <w:rsid w:val="00190A81"/>
    <w:rsid w:val="001C7970"/>
    <w:rsid w:val="001D506A"/>
    <w:rsid w:val="002819F3"/>
    <w:rsid w:val="002E1C6F"/>
    <w:rsid w:val="003076BE"/>
    <w:rsid w:val="003565EA"/>
    <w:rsid w:val="003F4D58"/>
    <w:rsid w:val="00430528"/>
    <w:rsid w:val="00456475"/>
    <w:rsid w:val="00463F73"/>
    <w:rsid w:val="00544634"/>
    <w:rsid w:val="0056018A"/>
    <w:rsid w:val="0057256C"/>
    <w:rsid w:val="00572C37"/>
    <w:rsid w:val="005A3163"/>
    <w:rsid w:val="005D3C92"/>
    <w:rsid w:val="006161C2"/>
    <w:rsid w:val="00644C63"/>
    <w:rsid w:val="00672F2D"/>
    <w:rsid w:val="006D2EE0"/>
    <w:rsid w:val="007513DC"/>
    <w:rsid w:val="0085521F"/>
    <w:rsid w:val="008D0BF0"/>
    <w:rsid w:val="008E5CC7"/>
    <w:rsid w:val="009025D6"/>
    <w:rsid w:val="009360CA"/>
    <w:rsid w:val="009A03AF"/>
    <w:rsid w:val="00A0305B"/>
    <w:rsid w:val="00AF16C3"/>
    <w:rsid w:val="00B113D4"/>
    <w:rsid w:val="00B216D4"/>
    <w:rsid w:val="00B23316"/>
    <w:rsid w:val="00B441C6"/>
    <w:rsid w:val="00BA7E77"/>
    <w:rsid w:val="00BB2C95"/>
    <w:rsid w:val="00C262E0"/>
    <w:rsid w:val="00D46923"/>
    <w:rsid w:val="00D55054"/>
    <w:rsid w:val="00E43AC6"/>
    <w:rsid w:val="00ED78C0"/>
    <w:rsid w:val="00EE0DE1"/>
    <w:rsid w:val="00EF38C9"/>
    <w:rsid w:val="00F31D9B"/>
    <w:rsid w:val="00F3761C"/>
    <w:rsid w:val="00F5428E"/>
    <w:rsid w:val="00F61D76"/>
    <w:rsid w:val="00F90DFA"/>
    <w:rsid w:val="00F93303"/>
    <w:rsid w:val="00FA64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EC7C"/>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1E1E-4F00-4418-B545-CE06892A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cp:lastModifiedBy>
  <cp:revision>44</cp:revision>
  <cp:lastPrinted>2019-05-27T14:33:00Z</cp:lastPrinted>
  <dcterms:created xsi:type="dcterms:W3CDTF">2019-04-03T13:37:00Z</dcterms:created>
  <dcterms:modified xsi:type="dcterms:W3CDTF">2019-05-27T15:01:00Z</dcterms:modified>
</cp:coreProperties>
</file>